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B22" w:rsidRPr="00296B22" w:rsidRDefault="00296B22" w:rsidP="00296B22">
      <w:pPr>
        <w:jc w:val="center"/>
        <w:rPr>
          <w:b/>
          <w:sz w:val="96"/>
          <w:szCs w:val="96"/>
          <w:u w:val="single"/>
          <w14:glow w14:rad="139700">
            <w14:schemeClr w14:val="accent1">
              <w14:alpha w14:val="60000"/>
              <w14:satMod w14:val="175000"/>
            </w14:schemeClr>
          </w14:glow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296B22">
        <w:rPr>
          <w:b/>
          <w:sz w:val="96"/>
          <w:szCs w:val="96"/>
          <w:u w:val="single"/>
          <w14:glow w14:rad="139700">
            <w14:schemeClr w14:val="accent1">
              <w14:alpha w14:val="60000"/>
              <w14:satMod w14:val="175000"/>
            </w14:schemeClr>
          </w14:glow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Costes totales</w:t>
      </w:r>
    </w:p>
    <w:p w:rsidR="00931EC6" w:rsidRDefault="00712D72">
      <w:r>
        <w:t>La función</w:t>
      </w:r>
      <w:r w:rsidRPr="00712D72">
        <w:t xml:space="preserve"> de</w:t>
      </w:r>
      <w:r w:rsidRPr="00712D72">
        <w:rPr>
          <w:u w:val="single"/>
        </w:rPr>
        <w:t xml:space="preserve"> Coste total</w:t>
      </w:r>
      <w:r>
        <w:t xml:space="preserve"> es aquella que muestra el mínimo coste total para producir una determinada cantidad del producto.</w:t>
      </w:r>
    </w:p>
    <w:p w:rsidR="00712D72" w:rsidRDefault="00712D72">
      <w:r>
        <w:t xml:space="preserve">En ella se ven representados tanto los costes fijos </w:t>
      </w:r>
      <w:r w:rsidR="00C9060C">
        <w:t>(aquellos</w:t>
      </w:r>
      <w:r>
        <w:t xml:space="preserve"> costes que son independientes del volumen de producción, no varían sea cual sea la cantidad producida) de la empresa como los costes variables (varían en relación a las unidades de producto </w:t>
      </w:r>
      <w:r w:rsidR="00C9060C">
        <w:t>producidas)</w:t>
      </w:r>
      <w:r>
        <w:t>, y representa el límite en</w:t>
      </w:r>
      <w:r w:rsidR="009C7E13">
        <w:t>tre</w:t>
      </w:r>
      <w:r>
        <w:t xml:space="preserve"> lo imposible y lo ineficaz.</w:t>
      </w:r>
    </w:p>
    <w:p w:rsidR="00712D72" w:rsidRDefault="00712D72">
      <w:r>
        <w:t>Nuestra función de costes para los años 2007, 2008, 2009 y 2010 es la siguiente:</w:t>
      </w:r>
    </w:p>
    <w:p w:rsidR="00017069" w:rsidRDefault="00017069">
      <w:r>
        <w:rPr>
          <w:noProof/>
          <w:lang w:eastAsia="es-ES"/>
        </w:rPr>
        <w:drawing>
          <wp:inline distT="0" distB="0" distL="0" distR="0" wp14:anchorId="189BC5D8" wp14:editId="17ADEA54">
            <wp:extent cx="5400040" cy="2494723"/>
            <wp:effectExtent l="19050" t="57150" r="86360" b="5842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tbl>
      <w:tblPr>
        <w:tblStyle w:val="Sombreadoclaro-nfasis1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96B22" w:rsidTr="00296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2" w:type="dxa"/>
          </w:tcPr>
          <w:p w:rsidR="00296B22" w:rsidRDefault="00296B22">
            <w:r>
              <w:t>Costes Totales</w:t>
            </w:r>
          </w:p>
        </w:tc>
        <w:tc>
          <w:tcPr>
            <w:tcW w:w="4322" w:type="dxa"/>
          </w:tcPr>
          <w:p w:rsidR="00296B22" w:rsidRDefault="00296B2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Ventas</w:t>
            </w:r>
          </w:p>
        </w:tc>
      </w:tr>
      <w:tr w:rsidR="00296B22" w:rsidTr="00296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2" w:type="dxa"/>
          </w:tcPr>
          <w:p w:rsidR="00296B22" w:rsidRDefault="00296B22">
            <w:r w:rsidRPr="00296B22">
              <w:t>319085,49</w:t>
            </w:r>
          </w:p>
        </w:tc>
        <w:tc>
          <w:tcPr>
            <w:tcW w:w="4322" w:type="dxa"/>
          </w:tcPr>
          <w:p w:rsidR="00296B22" w:rsidRDefault="00296B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96B22">
              <w:t>344174,29</w:t>
            </w:r>
          </w:p>
        </w:tc>
      </w:tr>
      <w:tr w:rsidR="00296B22" w:rsidTr="00296B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2" w:type="dxa"/>
          </w:tcPr>
          <w:p w:rsidR="00296B22" w:rsidRDefault="00296B22">
            <w:r w:rsidRPr="00296B22">
              <w:t>297980,74</w:t>
            </w:r>
          </w:p>
        </w:tc>
        <w:tc>
          <w:tcPr>
            <w:tcW w:w="4322" w:type="dxa"/>
          </w:tcPr>
          <w:p w:rsidR="00296B22" w:rsidRDefault="00296B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6B22">
              <w:t>317715,09</w:t>
            </w:r>
          </w:p>
        </w:tc>
      </w:tr>
      <w:tr w:rsidR="00296B22" w:rsidTr="00296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2" w:type="dxa"/>
          </w:tcPr>
          <w:p w:rsidR="00296B22" w:rsidRDefault="00296B22">
            <w:r w:rsidRPr="00296B22">
              <w:t>259998,87</w:t>
            </w:r>
          </w:p>
        </w:tc>
        <w:tc>
          <w:tcPr>
            <w:tcW w:w="4322" w:type="dxa"/>
          </w:tcPr>
          <w:p w:rsidR="00296B22" w:rsidRDefault="00296B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96B22">
              <w:t>286554,95</w:t>
            </w:r>
          </w:p>
        </w:tc>
      </w:tr>
      <w:tr w:rsidR="00296B22" w:rsidTr="00296B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2" w:type="dxa"/>
          </w:tcPr>
          <w:p w:rsidR="00296B22" w:rsidRDefault="00296B22">
            <w:r w:rsidRPr="00296B22">
              <w:t>250468,84</w:t>
            </w:r>
          </w:p>
        </w:tc>
        <w:tc>
          <w:tcPr>
            <w:tcW w:w="4322" w:type="dxa"/>
          </w:tcPr>
          <w:p w:rsidR="00296B22" w:rsidRDefault="00296B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6B22">
              <w:t>273792,38</w:t>
            </w:r>
          </w:p>
        </w:tc>
      </w:tr>
    </w:tbl>
    <w:p w:rsidR="00712D72" w:rsidRDefault="00712D72"/>
    <w:p w:rsidR="00712D72" w:rsidRDefault="00712D72"/>
    <w:p w:rsidR="00EB2F51" w:rsidRDefault="00EB2F51">
      <w:r>
        <w:t>Para obtenerla hemos partido de l</w:t>
      </w:r>
      <w:r w:rsidR="009C7E13">
        <w:t xml:space="preserve">a expresión de costes que es: </w:t>
      </w:r>
      <w:r w:rsidR="0099463D">
        <w:t>CT= p (q)</w:t>
      </w:r>
    </w:p>
    <w:p w:rsidR="00EB2F51" w:rsidRDefault="00EB2F51">
      <w:r>
        <w:t xml:space="preserve">Y de los datos obtenidos de cada </w:t>
      </w:r>
      <w:r w:rsidR="00C36229">
        <w:t>año:</w:t>
      </w:r>
    </w:p>
    <w:p w:rsidR="00EB2F51" w:rsidRPr="009C7E13" w:rsidRDefault="00EB2F51">
      <w:pPr>
        <w:rPr>
          <w:b/>
        </w:rPr>
      </w:pPr>
      <w:r w:rsidRPr="009C7E13">
        <w:rPr>
          <w:b/>
        </w:rPr>
        <w:t>2007: CT -&gt; 319085.49 V-&gt; 344174.29</w:t>
      </w:r>
    </w:p>
    <w:p w:rsidR="00C36229" w:rsidRDefault="00C36229">
      <w:r w:rsidRPr="00C36229">
        <w:t>El Coste total del 2007 está formado por:</w:t>
      </w:r>
    </w:p>
    <w:p w:rsidR="00C36229" w:rsidRDefault="00C36229" w:rsidP="00C36229">
      <w:pPr>
        <w:pStyle w:val="Prrafodelista"/>
        <w:numPr>
          <w:ilvl w:val="0"/>
          <w:numId w:val="1"/>
        </w:numPr>
      </w:pPr>
      <w:r>
        <w:t>Aprovisionamientos: 228242.47</w:t>
      </w:r>
    </w:p>
    <w:p w:rsidR="00C36229" w:rsidRDefault="00C36229" w:rsidP="00C36229">
      <w:pPr>
        <w:pStyle w:val="Prrafodelista"/>
        <w:numPr>
          <w:ilvl w:val="0"/>
          <w:numId w:val="1"/>
        </w:numPr>
      </w:pPr>
      <w:r>
        <w:lastRenderedPageBreak/>
        <w:t>Gastos de personal: 50057.57</w:t>
      </w:r>
    </w:p>
    <w:p w:rsidR="00C36229" w:rsidRDefault="00C36229" w:rsidP="00C36229">
      <w:pPr>
        <w:pStyle w:val="Prrafodelista"/>
        <w:numPr>
          <w:ilvl w:val="0"/>
          <w:numId w:val="1"/>
        </w:numPr>
      </w:pPr>
      <w:r>
        <w:t>Otros gastos de explotación: 32452.61</w:t>
      </w:r>
    </w:p>
    <w:p w:rsidR="00C36229" w:rsidRDefault="00C36229" w:rsidP="00C36229">
      <w:pPr>
        <w:pStyle w:val="Prrafodelista"/>
        <w:numPr>
          <w:ilvl w:val="0"/>
          <w:numId w:val="1"/>
        </w:numPr>
      </w:pPr>
      <w:r>
        <w:t>Amortización del inmovilizado: 7926.57</w:t>
      </w:r>
    </w:p>
    <w:p w:rsidR="00C36229" w:rsidRDefault="00C36229" w:rsidP="00C36229">
      <w:pPr>
        <w:pStyle w:val="Prrafodelista"/>
        <w:numPr>
          <w:ilvl w:val="0"/>
          <w:numId w:val="1"/>
        </w:numPr>
      </w:pPr>
      <w:r>
        <w:t>Otros resultados ( gastos excepcionales) : 406.27</w:t>
      </w:r>
    </w:p>
    <w:p w:rsidR="009C7E13" w:rsidRPr="00C36229" w:rsidRDefault="009C7E13" w:rsidP="009C7E13">
      <w:r>
        <w:t>Y las ventas las obtenemos del importe neto de la cifra de negocios que está compuesta por las ventas de mercaderías: 344174.29</w:t>
      </w:r>
    </w:p>
    <w:p w:rsidR="00C36229" w:rsidRPr="00C36229" w:rsidRDefault="00C36229"/>
    <w:p w:rsidR="00EB2F51" w:rsidRPr="00017069" w:rsidRDefault="00EB2F51">
      <w:pPr>
        <w:rPr>
          <w:b/>
        </w:rPr>
      </w:pPr>
      <w:r w:rsidRPr="00017069">
        <w:rPr>
          <w:b/>
        </w:rPr>
        <w:t>2008: CT-&gt; 297980.74 V -&gt; 317715.09</w:t>
      </w:r>
    </w:p>
    <w:p w:rsidR="00C36229" w:rsidRDefault="00C36229">
      <w:r w:rsidRPr="00C36229">
        <w:t>El Coste total del 2008 está formado por:</w:t>
      </w:r>
    </w:p>
    <w:p w:rsidR="00C36229" w:rsidRDefault="00C36229" w:rsidP="00C36229">
      <w:pPr>
        <w:pStyle w:val="Prrafodelista"/>
        <w:numPr>
          <w:ilvl w:val="0"/>
          <w:numId w:val="1"/>
        </w:numPr>
      </w:pPr>
      <w:r>
        <w:t>Aprovisionamientos:</w:t>
      </w:r>
      <w:r w:rsidR="00C9060C">
        <w:t xml:space="preserve"> </w:t>
      </w:r>
      <w:r>
        <w:t>205232.31</w:t>
      </w:r>
    </w:p>
    <w:p w:rsidR="00C36229" w:rsidRDefault="00C36229" w:rsidP="00C36229">
      <w:pPr>
        <w:pStyle w:val="Prrafodelista"/>
        <w:numPr>
          <w:ilvl w:val="0"/>
          <w:numId w:val="1"/>
        </w:numPr>
      </w:pPr>
      <w:r>
        <w:t>Gastos de personal:</w:t>
      </w:r>
      <w:r w:rsidR="00C9060C">
        <w:t xml:space="preserve"> 57968.98</w:t>
      </w:r>
    </w:p>
    <w:p w:rsidR="00C36229" w:rsidRDefault="00C36229" w:rsidP="00C36229">
      <w:pPr>
        <w:pStyle w:val="Prrafodelista"/>
        <w:numPr>
          <w:ilvl w:val="0"/>
          <w:numId w:val="1"/>
        </w:numPr>
      </w:pPr>
      <w:r>
        <w:t>Otros gastos de explotación :</w:t>
      </w:r>
      <w:r w:rsidR="00C9060C">
        <w:t xml:space="preserve"> 32538.69</w:t>
      </w:r>
    </w:p>
    <w:p w:rsidR="00C36229" w:rsidRDefault="00C36229" w:rsidP="00C36229">
      <w:pPr>
        <w:pStyle w:val="Prrafodelista"/>
        <w:numPr>
          <w:ilvl w:val="0"/>
          <w:numId w:val="1"/>
        </w:numPr>
      </w:pPr>
      <w:r>
        <w:t>Amortización del inmovilizado:</w:t>
      </w:r>
      <w:r w:rsidR="00C9060C">
        <w:t xml:space="preserve"> 1134.68</w:t>
      </w:r>
    </w:p>
    <w:p w:rsidR="00C36229" w:rsidRDefault="00C36229" w:rsidP="00C36229">
      <w:pPr>
        <w:pStyle w:val="Prrafodelista"/>
        <w:numPr>
          <w:ilvl w:val="0"/>
          <w:numId w:val="1"/>
        </w:numPr>
      </w:pPr>
      <w:r>
        <w:t>Otros resultados</w:t>
      </w:r>
      <w:r w:rsidR="00C9060C">
        <w:t xml:space="preserve"> ( Gastos excepcionales – Ingresos excepcionales ) : 1106.07</w:t>
      </w:r>
    </w:p>
    <w:p w:rsidR="009C7E13" w:rsidRPr="00C36229" w:rsidRDefault="009C7E13" w:rsidP="009C7E13">
      <w:r>
        <w:t>Las ventas las obtenemos del importe neto de la cifra de negocios: 317715.09</w:t>
      </w:r>
    </w:p>
    <w:p w:rsidR="00C36229" w:rsidRPr="00C36229" w:rsidRDefault="00C36229"/>
    <w:p w:rsidR="009C7E13" w:rsidRDefault="009C7E13">
      <w:pPr>
        <w:rPr>
          <w:b/>
        </w:rPr>
      </w:pPr>
    </w:p>
    <w:p w:rsidR="00EB2F51" w:rsidRPr="009C7E13" w:rsidRDefault="00EB2F51">
      <w:pPr>
        <w:rPr>
          <w:b/>
        </w:rPr>
      </w:pPr>
      <w:r w:rsidRPr="009C7E13">
        <w:rPr>
          <w:b/>
        </w:rPr>
        <w:t>2009: CT-&gt; 259998.87 V-&gt; 286554.95</w:t>
      </w:r>
    </w:p>
    <w:p w:rsidR="00C9060C" w:rsidRPr="00C9060C" w:rsidRDefault="00C9060C">
      <w:r>
        <w:t>El Coste total del 2009</w:t>
      </w:r>
      <w:r w:rsidRPr="00C9060C">
        <w:t xml:space="preserve"> está formado por:</w:t>
      </w:r>
    </w:p>
    <w:p w:rsidR="00C9060C" w:rsidRDefault="00C9060C" w:rsidP="00C9060C">
      <w:pPr>
        <w:pStyle w:val="Prrafodelista"/>
        <w:numPr>
          <w:ilvl w:val="0"/>
          <w:numId w:val="1"/>
        </w:numPr>
      </w:pPr>
      <w:r>
        <w:t>Aprovisionamientos: 175613.07</w:t>
      </w:r>
    </w:p>
    <w:p w:rsidR="00C9060C" w:rsidRDefault="00C9060C" w:rsidP="00C9060C">
      <w:pPr>
        <w:pStyle w:val="Prrafodelista"/>
        <w:numPr>
          <w:ilvl w:val="0"/>
          <w:numId w:val="1"/>
        </w:numPr>
      </w:pPr>
      <w:r>
        <w:t>Gastos de personal: 52121.39</w:t>
      </w:r>
    </w:p>
    <w:p w:rsidR="00C9060C" w:rsidRDefault="00C9060C" w:rsidP="00C9060C">
      <w:pPr>
        <w:pStyle w:val="Prrafodelista"/>
        <w:numPr>
          <w:ilvl w:val="0"/>
          <w:numId w:val="1"/>
        </w:numPr>
      </w:pPr>
      <w:r>
        <w:t>Otros gastos de explotación: 30692.95</w:t>
      </w:r>
    </w:p>
    <w:p w:rsidR="00C9060C" w:rsidRDefault="00C9060C" w:rsidP="00C9060C">
      <w:pPr>
        <w:pStyle w:val="Prrafodelista"/>
        <w:numPr>
          <w:ilvl w:val="0"/>
          <w:numId w:val="1"/>
        </w:numPr>
      </w:pPr>
      <w:r>
        <w:t>Amortización del inmovilizado: 993.01</w:t>
      </w:r>
    </w:p>
    <w:p w:rsidR="00C9060C" w:rsidRDefault="00C9060C" w:rsidP="00C9060C">
      <w:pPr>
        <w:pStyle w:val="Prrafodelista"/>
        <w:numPr>
          <w:ilvl w:val="0"/>
          <w:numId w:val="1"/>
        </w:numPr>
      </w:pPr>
      <w:r>
        <w:t>Otros resultados ( Gastos excepcionales) : 578.45</w:t>
      </w:r>
    </w:p>
    <w:p w:rsidR="009C7E13" w:rsidRPr="00C9060C" w:rsidRDefault="009C7E13" w:rsidP="009C7E13">
      <w:r>
        <w:t>Las ventas las obtenemos del importe neto de la cifra de negocios (ventas de mercaderías – devoluciones ventas y operaciones similares): 286554.95</w:t>
      </w:r>
    </w:p>
    <w:p w:rsidR="00EB2F51" w:rsidRPr="00017069" w:rsidRDefault="00EB2F51">
      <w:pPr>
        <w:rPr>
          <w:b/>
        </w:rPr>
      </w:pPr>
      <w:r w:rsidRPr="00017069">
        <w:rPr>
          <w:b/>
        </w:rPr>
        <w:t>2010: CT -&gt; 250468.84 V-&gt; 273792.38</w:t>
      </w:r>
    </w:p>
    <w:p w:rsidR="00C9060C" w:rsidRDefault="00C9060C">
      <w:r w:rsidRPr="00C9060C">
        <w:t xml:space="preserve">El Coste total de 2010 está formado por: </w:t>
      </w:r>
    </w:p>
    <w:p w:rsidR="00C9060C" w:rsidRDefault="00C9060C" w:rsidP="00C9060C">
      <w:pPr>
        <w:pStyle w:val="Prrafodelista"/>
        <w:numPr>
          <w:ilvl w:val="0"/>
          <w:numId w:val="1"/>
        </w:numPr>
      </w:pPr>
      <w:r>
        <w:t xml:space="preserve">Aprovisionamientos: 167370.95 </w:t>
      </w:r>
    </w:p>
    <w:p w:rsidR="00C9060C" w:rsidRDefault="00C9060C" w:rsidP="00C9060C">
      <w:pPr>
        <w:pStyle w:val="Prrafodelista"/>
        <w:numPr>
          <w:ilvl w:val="0"/>
          <w:numId w:val="1"/>
        </w:numPr>
      </w:pPr>
      <w:r>
        <w:t>Gastos de personal: 51042.73</w:t>
      </w:r>
    </w:p>
    <w:p w:rsidR="00C9060C" w:rsidRDefault="00C9060C" w:rsidP="00C9060C">
      <w:pPr>
        <w:pStyle w:val="Prrafodelista"/>
        <w:numPr>
          <w:ilvl w:val="0"/>
          <w:numId w:val="1"/>
        </w:numPr>
      </w:pPr>
      <w:r>
        <w:t>Otros gastos de explotación: 30767.16</w:t>
      </w:r>
    </w:p>
    <w:p w:rsidR="00C9060C" w:rsidRDefault="00C9060C" w:rsidP="00C9060C">
      <w:pPr>
        <w:pStyle w:val="Prrafodelista"/>
        <w:numPr>
          <w:ilvl w:val="0"/>
          <w:numId w:val="1"/>
        </w:numPr>
      </w:pPr>
      <w:r>
        <w:t>Amortización del inmovilizado: 611.44</w:t>
      </w:r>
    </w:p>
    <w:p w:rsidR="00C9060C" w:rsidRDefault="00C9060C" w:rsidP="00C9060C">
      <w:pPr>
        <w:pStyle w:val="Prrafodelista"/>
        <w:numPr>
          <w:ilvl w:val="0"/>
          <w:numId w:val="1"/>
        </w:numPr>
      </w:pPr>
      <w:r>
        <w:t>Otros resultados ( Gastos excepcionales) : 676.56</w:t>
      </w:r>
    </w:p>
    <w:p w:rsidR="009C7E13" w:rsidRDefault="009C7E13" w:rsidP="009C7E13">
      <w:r>
        <w:t>Las ventas las obtenemos del importe neto de la cifra de negocios: 273792.38</w:t>
      </w:r>
    </w:p>
    <w:p w:rsidR="00C9060C" w:rsidRDefault="00C9060C" w:rsidP="00C9060C">
      <w:r>
        <w:lastRenderedPageBreak/>
        <w:t xml:space="preserve">Finalmente sustituyendo en la expresión de Coste Total </w:t>
      </w:r>
      <w:r w:rsidR="0099463D">
        <w:t>= p (q)</w:t>
      </w:r>
      <w:bookmarkStart w:id="0" w:name="_GoBack"/>
      <w:bookmarkEnd w:id="0"/>
      <w:r>
        <w:t xml:space="preserve"> obtenemos que los precios de cada año son los siguientes:</w:t>
      </w:r>
    </w:p>
    <w:p w:rsidR="00C9060C" w:rsidRDefault="00C9060C" w:rsidP="00C9060C">
      <w:r>
        <w:t>2007: p= 0.92</w:t>
      </w:r>
    </w:p>
    <w:p w:rsidR="00C9060C" w:rsidRDefault="00C9060C" w:rsidP="00C9060C">
      <w:r>
        <w:t>2008: p= 0.93</w:t>
      </w:r>
    </w:p>
    <w:p w:rsidR="00C9060C" w:rsidRDefault="00C9060C" w:rsidP="00C9060C">
      <w:r>
        <w:t>2009: p= 0.90</w:t>
      </w:r>
    </w:p>
    <w:p w:rsidR="00C9060C" w:rsidRDefault="00C9060C" w:rsidP="00C9060C">
      <w:r>
        <w:t>2010: p= 0.91</w:t>
      </w:r>
    </w:p>
    <w:p w:rsidR="00C9060C" w:rsidRDefault="00C9060C" w:rsidP="00C9060C"/>
    <w:p w:rsidR="00712D72" w:rsidRPr="00C9060C" w:rsidRDefault="00712D72"/>
    <w:sectPr w:rsidR="00712D72" w:rsidRPr="00C906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81DFF"/>
    <w:multiLevelType w:val="hybridMultilevel"/>
    <w:tmpl w:val="8042ECDA"/>
    <w:lvl w:ilvl="0" w:tplc="8D4050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D72"/>
    <w:rsid w:val="00017069"/>
    <w:rsid w:val="00296B22"/>
    <w:rsid w:val="00712D72"/>
    <w:rsid w:val="00931EC6"/>
    <w:rsid w:val="0099463D"/>
    <w:rsid w:val="009C7E13"/>
    <w:rsid w:val="00C36229"/>
    <w:rsid w:val="00C9060C"/>
    <w:rsid w:val="00D66F0D"/>
    <w:rsid w:val="00EA0D04"/>
    <w:rsid w:val="00EB2F51"/>
    <w:rsid w:val="00F9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36229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F904AE"/>
    <w:rPr>
      <w:color w:val="000000"/>
      <w:u w:val="single"/>
    </w:rPr>
  </w:style>
  <w:style w:type="paragraph" w:styleId="NormalWeb">
    <w:name w:val="Normal (Web)"/>
    <w:basedOn w:val="Normal"/>
    <w:uiPriority w:val="99"/>
    <w:semiHidden/>
    <w:unhideWhenUsed/>
    <w:rsid w:val="00F90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0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04A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96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296B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36229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F904AE"/>
    <w:rPr>
      <w:color w:val="000000"/>
      <w:u w:val="single"/>
    </w:rPr>
  </w:style>
  <w:style w:type="paragraph" w:styleId="NormalWeb">
    <w:name w:val="Normal (Web)"/>
    <w:basedOn w:val="Normal"/>
    <w:uiPriority w:val="99"/>
    <w:semiHidden/>
    <w:unhideWhenUsed/>
    <w:rsid w:val="00F90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0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04A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96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296B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3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3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7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\Desktop\FUNCI&#211;N%20C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029549352323734"/>
          <c:y val="6.4048005449700462E-2"/>
          <c:w val="0.85815292792494013"/>
          <c:h val="0.84667441378987929"/>
        </c:manualLayout>
      </c:layout>
      <c:scatterChart>
        <c:scatterStyle val="smoothMarker"/>
        <c:varyColors val="0"/>
        <c:ser>
          <c:idx val="0"/>
          <c:order val="0"/>
          <c:spPr>
            <a:ln w="38100">
              <a:solidFill>
                <a:schemeClr val="tx2">
                  <a:lumMod val="60000"/>
                  <a:lumOff val="40000"/>
                </a:schemeClr>
              </a:solidFill>
            </a:ln>
          </c:spPr>
          <c:marker>
            <c:symbol val="none"/>
          </c:marker>
          <c:xVal>
            <c:numRef>
              <c:f>Hoja1!$A$2:$A$5</c:f>
              <c:numCache>
                <c:formatCode>General</c:formatCode>
                <c:ptCount val="4"/>
                <c:pt idx="0">
                  <c:v>319085.49</c:v>
                </c:pt>
                <c:pt idx="1">
                  <c:v>297980.74</c:v>
                </c:pt>
                <c:pt idx="2">
                  <c:v>259998.87</c:v>
                </c:pt>
                <c:pt idx="3">
                  <c:v>250468.84</c:v>
                </c:pt>
              </c:numCache>
            </c:numRef>
          </c:xVal>
          <c:yVal>
            <c:numRef>
              <c:f>Hoja1!$B$2:$B$5</c:f>
              <c:numCache>
                <c:formatCode>General</c:formatCode>
                <c:ptCount val="4"/>
                <c:pt idx="0">
                  <c:v>344174.29</c:v>
                </c:pt>
                <c:pt idx="1">
                  <c:v>317715.09000000003</c:v>
                </c:pt>
                <c:pt idx="2">
                  <c:v>286554.95</c:v>
                </c:pt>
                <c:pt idx="3">
                  <c:v>273792.38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6036352"/>
        <c:axId val="119709696"/>
      </c:scatterChart>
      <c:valAx>
        <c:axId val="76036352"/>
        <c:scaling>
          <c:orientation val="minMax"/>
          <c:max val="320000"/>
          <c:min val="250000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9050">
            <a:solidFill>
              <a:schemeClr val="tx2">
                <a:lumMod val="50000"/>
              </a:schemeClr>
            </a:solidFill>
          </a:ln>
        </c:spPr>
        <c:crossAx val="119709696"/>
        <c:crosses val="autoZero"/>
        <c:crossBetween val="midCat"/>
        <c:majorUnit val="9000"/>
      </c:valAx>
      <c:valAx>
        <c:axId val="119709696"/>
        <c:scaling>
          <c:orientation val="minMax"/>
          <c:max val="350000"/>
          <c:min val="270000"/>
        </c:scaling>
        <c:delete val="0"/>
        <c:axPos val="l"/>
        <c:majorGridlines>
          <c:spPr>
            <a:ln>
              <a:solidFill>
                <a:schemeClr val="bg1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76036352"/>
        <c:crosses val="autoZero"/>
        <c:crossBetween val="midCat"/>
        <c:majorUnit val="5000"/>
      </c:valAx>
      <c:spPr>
        <a:ln w="28575" cap="rnd">
          <a:solidFill>
            <a:schemeClr val="tx2">
              <a:lumMod val="75000"/>
            </a:schemeClr>
          </a:solidFill>
        </a:ln>
      </c:spPr>
    </c:plotArea>
    <c:plotVisOnly val="1"/>
    <c:dispBlanksAs val="gap"/>
    <c:showDLblsOverMax val="0"/>
  </c:chart>
  <c:spPr>
    <a:noFill/>
    <a:ln>
      <a:gradFill>
        <a:gsLst>
          <a:gs pos="9000">
            <a:schemeClr val="accent1">
              <a:tint val="66000"/>
              <a:satMod val="160000"/>
            </a:schemeClr>
          </a:gs>
          <a:gs pos="58000">
            <a:schemeClr val="accent1">
              <a:tint val="44500"/>
              <a:satMod val="160000"/>
            </a:schemeClr>
          </a:gs>
          <a:gs pos="100000">
            <a:schemeClr val="accent1">
              <a:tint val="23500"/>
              <a:satMod val="160000"/>
            </a:schemeClr>
          </a:gs>
        </a:gsLst>
        <a:lin ang="5400000" scaled="0"/>
      </a:gradFill>
    </a:ln>
    <a:effectLst>
      <a:outerShdw blurRad="50800" dist="38100" algn="l" rotWithShape="0">
        <a:prstClr val="black">
          <a:alpha val="40000"/>
        </a:prstClr>
      </a:outerShdw>
    </a:effectLst>
  </c:sp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patricia</cp:lastModifiedBy>
  <cp:revision>2</cp:revision>
  <dcterms:created xsi:type="dcterms:W3CDTF">2011-12-01T18:27:00Z</dcterms:created>
  <dcterms:modified xsi:type="dcterms:W3CDTF">2011-12-01T18:27:00Z</dcterms:modified>
</cp:coreProperties>
</file>